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2006/214 vom 18. Februar 2008</w:t>
      </w:r>
    </w:p>
    <w:p>
      <w:r>
        <w:t>Sg Versicherungsgericht, 2008-02-18, DE</w:t>
      </w:r>
    </w:p>
    <w:p>
      <w:r>
        <w:rPr>
          <w:b/>
        </w:rPr>
        <w:t xml:space="preserve">Quelle: </w:t>
      </w:r>
      <w:r>
        <w:t>https://mcp.opencaselaw.ch/entscheid/sg_publikationen_IV 2006_214</w:t>
      </w:r>
    </w:p>
    <w:p>
      <w:r>
        <w:t>FR: SG_VERSICHERUNGSGERICHT IV 2006/214 du 18 février 2008</w:t>
      </w:r>
    </w:p>
    <w:p>
      <w:r>
        <w:t>IT: SG_VERSICHERUNGSGERICHT IV 2006/214 del 18 febbraio 2008</w:t>
      </w:r>
    </w:p>
    <w:p>
      <w:pPr>
        <w:pStyle w:val="Heading2"/>
      </w:pPr>
      <w:r>
        <w:t>Regeste</w:t>
      </w:r>
    </w:p>
    <w:p>
      <w:r>
        <w:t>Art. 28 Abs. 2bis IVG; Art. 28 Abs. 2ter IVG (Fassung bis 31.12.07): Betätigungsvergleich und gemischte Methode. Rentenrevision vorliegend nicht zulässig, weil sich die Validenkarriere der Versicherten nicht mit überwiegender Wahrscheinlichkeit verändert hätte (Entscheid des Versicherungsgerichts des Kantons St. Gallen vom 18. Februar 2008, IV 2006/214).</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20. September 2006 eingetretenen Sachverhalt abzustellen ist (BGE 121 V 366 Erw. 1b), sind auf die angefochtene Verfügungdie bis zum 31. Dezember 2007 geltenden materiellen Bestimmungen anzuwenden.</w:t>
      </w:r>
    </w:p>
    <w:p>
      <w:r>
        <w:rPr>
          <w:b/>
        </w:rPr>
        <w:t>E. 2</w:t>
      </w:r>
    </w:p>
    <w:p>
      <w:r>
        <w:t>Streitig und im vorliegenden Verfahren zu überprüfen ist, ob die Beschwerdegegnerin im Rahmen des im November 2005 eingeleiteten Revisionsverfahrens zu Recht einen Statuswechsel der Beschwerdeführerin vorgenommen und diese als nichterwerbstätige Hausfrau qualifiziert hat.</w:t>
      </w:r>
    </w:p>
    <w:p>
      <w:r>
        <w:rPr>
          <w:b/>
        </w:rPr>
        <w:t>E. 3</w:t>
      </w:r>
    </w:p>
    <w:p>
      <w:r>
        <w:t>3.1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aArt. 28 Abs. 2 bis des Bundesgesetzes über die Invalidenversicherung (IVG; SR 831.20; Fassung bis 31. Dezember 2007):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Nach aArt.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(aArt. 28 Abs. 1 IVG). 3.2  Ob eine versicherte Person als ganztägig oder zeitweilig erwerbstätig oder als nicht­erwerbstätig einzustufen ist, ergibt sich aus der Prüfung, was sie bei im Übrigen unveränderten Umständen täte, wenn keine gesundheitliche Beeinträchtigung bestünde (BGE 125 V 150 Erw.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 Erwerbstätigkeit der im Sozialversicherungsrecht übliche Beweisgrad der überwiegenden Wahrscheinlichkeit erforderlich ist (BGE 125 V 150 Erw. 2c; BGE 117 V 194 f. Erw. 3b mit Hinweisen; AHI 1997 S. 288 ff. Erw. 2b, AHI 1996 S. 197 Erw. 1c, je mit Hinweisen). 3.3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IV-Rente ist nicht nur bei einer wesentlichen Veränderung des Gesundheitszustandes, sondern auch dann revidierbar, wenn sich die erwerblichen Auswirkungen des an sich gleich gebliebenen Gesundheitszustandes erheblich verändert haben (BGE 130 V 349 f. Erw. 3.5). Eine einmal vorgenommene Anwendung einer bestimmten Methode ist nach BGE 97 V 241 nicht unveränderlich. Eine spätere Änderung der persönlichen und damit verbundenen wirtschaftlichen Situation kann – im Rahmen eines Revisionsverfahrens – Anlass geben, die bisherige Methode aufzugeben. Ein Methodenwechsel als solcher ist nie Revisionsgrund; für einen solchen bedarf es immer einer erheblichen Sachverhaltsevolution (in der Invaliden- oder der Validenkarriere). Eine Sachverhaltsevolution bedingt (möglicherweise) einen Methodenwechsel und nicht umgekehrt (vgl. den Entscheid IV 2006/57 des Versicherungsgerichts des Kantons St. Gallen vom 4. April 2007, Erw. 1a). 3.4  Die Rechtsprechung verlangt für neue Annahmen bei der Validenkarriere einen überwiegend wahrscheinlichen hypothetischen Verlauf (BGE 117 V 194 Erw. 3b; SVR 1996 IV Nr. 76 Erw. 2c). Für die hypothetische Annahme einer im Gesundheitsfall ausgeübten (Teil-) Erwerbstätigkeit ist der im Sozialversicherungsrecht übliche Beweisgrad der überwiegenden Wahrscheinlichkeit erforderlich (vgl. BGE 125 V 150 Erw. 2c, 117 V 194 f. Erw. 3b, je mit Hinweisen; Ulrich Meyer-Blaser, Die Rechtsprechung des Bundesgerichts zum IVG, Zürich 1997, S. 28). Der Richter hat jener Sachverhaltsdarstellung zu folgen, die er von allen möglichen Geschehensabläufen unter den gegebenen Umständen als die wahrscheinlichste würdigt (BGE 121 V 47 Erw. 2a). Dabei sind die konkrete Situation und die Vorbringen der Versicherten nach Massgabe der allgemeinen Lebenserfahrung zu würdigen (ZAK 1985 S. 468 Erw. 1). Denn Tatfragen, über die sich gemäss der Natur der Dinge nur Hypothesen aufstellen lassen, beurteilen sich nach Erfahrungssätzen (BGE 117 V 195 E. 3b mit Hinweis auf Guldener, Beweiswürdigung und Beweislast nach schweizerischem Zivilprozessrecht, S. 13). 3.5  Ein Methodenwechsel darf nach der älteren Praxis nur vorgenommen werden, wenn er zwingend notwendig ist (vgl. ZAK 1969 S. 745; BGE 104 V 149 Erw. 2). Das ist auch heute noch zu postulieren (vgl. Gabriela Riemer-Kafka, Veränderungen der familiären Verhältnisse als Rentenrevisionsgrund in der IV, in: René Schaffhauser/ Franz Schlauri [Hg.], Die Revision von Dauerleistungen in der Sozialversicherung, St. Gallen 1999, S. 111). Der Methodenwechsel setzt eine Nachführung der hypothetischen Lebensentwicklung voraus. Es wird auf den realen Verlauf persönlicher und familiärer Verhältnisse nach Eintritt der Invalidität (und unter den Einwirkungen der Invalidität) abgestellt, obwohl diese Verhältnisse an sich ohne kausalen Einfluss auf die Invalidität sind. Aus dieser Realität wird auf wesentliche Änderungen im massgeblichen hypothetischen Sachverhalt (BGE 117 V 199 Erw. 3b) geschlossen. Auf eine allgemeine Erfahrung über das Verhalten der Mütter nach der Geburt von Kindern lässt sich indessen heute nicht mehr zurückgreifen (Riemer-Kafka, a.a.O., S. 93 ff., S. 115 und 116). Auf eindeutige Lebensentwürfe und Lebenserfahrungen ist in der modernen Gesellschaft mit gleichen Chancen für unterschiedlichste Arten beruflichen Fortkommens immer weniger Verlass. Darum ist es gerechtfertigt, den Methodenwechsel nur bei triftigen Gründen zuzulassen, etwa wenn nach einer eindeutigen (hypothetischen) Sachlage ein Festhalten an der bisherigen Methode missbräuchlich wäre (vgl. den Entscheid IV 2001/3 des Versicherungsgerichts des Kantons St. Gallen vom 25. Oktober 2001, Erw. 3e).</w:t>
      </w:r>
    </w:p>
    <w:p>
      <w:r>
        <w:rPr>
          <w:b/>
        </w:rPr>
        <w:t>E. 4</w:t>
      </w:r>
    </w:p>
    <w:p>
      <w:r>
        <w:t>4.1  Die Beschwerdeführerin leidet insbesondere an einer angeborenen Hypothyreose. C.___, ehemaliger Arzt beim Sozialpsychiatrischen Dienst, schätzte die Arbeitsfähigkeit als Hilfsarbeiterin in seinem Gutachten vom 14. Sep­tem­ber 1989 auf 30-50% (IV-act. 116). Dr. med. D.___, Facharzt FMH für Innere Medizin, schätzte die Beschwerdeführerin im Arztbericht vom 10. April 1993 als zu 30% arbeitsfähig als Serviertochter (IV-act. 143). Im Arztbericht vom 1. Juni 1993 bezeichnete C.___ den Gesundheitszustand der Beschwerdeführerin als sich eher verschlechternd. Sie sei als Serviertochter zu ca. 70% arbeitsunfähig, wobei sie bei diesem Pensum keine wirtschaftlich relevante Leistung mehr erbringe (IV-act. 147). Am 19. Oktober 1999 hielt er fest, der Gesundheitszustand der Beschwerdeführerin habe sich eher verschlechtert. Sie sei über 70% arbeitsunfähig (IV-act. 5). Dr. med. A.___ bescheinigte in den Verlaufsberichten vom 21. Oktober 2002 und 21. November 2005 einen stationären Gesundheitszustand (IV-act. 169, 173). Den psychischen Gesundheitszustand bezeichnete Dr. med. B.___ am 30. Januar 2006 ebenfalls als stationär (IV-act. 177). Die RAD-Ärztin hielt am 18. Dezember 2006 unter Bezugnahme auf die medizinischen Akten fest, die Arbeitsunfähigkeit von 70% als Serviertochter/Hilfsarbeiterin sei ausgewiesen (act. G 8.1.1.). Bei dieser Aktenlage kann von einer Arbeitsunfähigkeit von 70% ausgegangen werden. 4.2  Bei der erstmaligen Rentenzusprache wurde die Beschwerdeführerin zu Recht als Vollerwerbstätige qualifiziert. Gemäss Bericht der Haushaltabklärung vom 31. Juli 2006 würde sie als Gesunde keiner Erwerbstätigkeit nachgehen (IV-act. 183-2). Dieser Darstellung widersprach die Beschwerdeführerin jedoch. Sie erklärte, die Frage falsch verstanden zu haben. Wenn sie gesund wäre, würde sie sicherlich arbeiten gehen (IV-act. 187-8). Wie der Rechtsvertreter der Beschwerdeführerin zutreffend ausführt, reicht das Einkommen des Lebenspartners der Beschwerdeführerin nicht aus, um den Existenzbedarf des Paares und der beiden gemeinsamen Kinder zu decken. Der Lebenspartner muss offenbar Alimente für ein nichtgemeinsames Kind in der Höhe von Fr. 11'400.- pro Jahr bezahlen. Die gemeinsamen Kinder waren im Zeitpunkt der angefochtenen Verfügung bereits neun und elf Jahre alt, also im Schulalter; sie benötigten längst nicht mehr vollzeitige Betreuung. Die Beschwerdeführerin erhält Unterstützung durch ihre Mutter. Gemäss Haushaltabklärung ist der Vater der Kinder zudem mittags zuhause, sodass er gegebenenfalls sogar das Mittagessen zubereiten könnte. Weiter ist zu beachten, dass die Beschwerdeführerin nicht verheiratet ist und demnach gegenüber ihrem Lebenspartner keinen gesetzlichen Anspruch auf Unterhalt hat. In ihrer Situation als unverheiratete Frau stünde sie im Falle einer Trennung von ihrem Lebenspartner mittellos da, was ebenfalls den Schluss zulässt, dass sie als Gesunde einer Erwerbstätigkeit nachgehen würde, um nicht übermässig abhängig zu sein. Als Unverheiratete hat sie zudem keinerlei Ansprüche, an den Altersvorsorgeleistungen (1. und 2. Säule) des Lebenspartners zu partizipieren. Sie müsste also alleine um ihre Altersvorsorge bemüht sein. Unter diesen Umständen ist davon auszugehen, dass sie ohne Gesundheitsschaden – hauptsächlich aus finanziellen Gründen – im Zeitpunkt der Revision eine vollzeitliche aus­serhäusliche Erwerbstätigkeit ausgeübt hätte. Nach der Aktenlage ist ein hypothetischer Wechsel aus der bisher angenommenen vollen Erwerbstätigkeit zwar möglich, nicht aber überwiegend wahrscheinlich. Da die IV-Stelle einen rechtsverändernden Eingriff in ein Dauerschuldverhältnis vornehmen will, trägt sie die Beweisführungslast bzw. das Risiko der Beweislosigkeit bei der Eruierung der Tatsachengrundlagen für diesen Eingriff, nicht etwa die Beschwerdeführerin (vgl. den bereits zitierten Entscheid IV 2001/3, Erw. 4a). Von einer zwingenden Notwendigkeit zu einem Methodenwechsel kann bei diesen Verhältnissen sicher nicht gesprochen werden. 4.3  Der Hinweis der Beschwerdegegnerin auf die höhere Glaubwürdigkeit der "Aussagen der ersten Stunde" vermag nicht zu überzeugen. Die Beschwerdeführerin leidet an Geburtsgebrechen; sie durfte ein Leben als Gesunde, voll arbeitsfähige Person nie kennenlernen. Gerade vor dem Hintergrund ihrer seit Geburt bestehenden u.a. geistigen Einschränkungen kann unmöglich davon ausgegangen werden, dass sie über ein derartiges Abstraktionspotential verfügt, um sich nachvollziehbar in ein Leben als Gesunde hineinzuversetzen und dazu einigermassen verlässliche, verwertbare Aussagen zu machen. Selbst wenn man von einem derartigen Abstraktionsvermögen ausginge, ist durchaus glaubhaft, dass die Beschwerdeführerin nicht zuletzt aufgrund ihrer Intelligenzminderung die Frage nach ihrem Status nicht richtig verstand, wie sie dies geltend macht. Im Übrigen ist zu beachten, dass die Beschwerdeführerin gegen ihre Qualifikation als "Nur-Hausfrau" protestierte und den Abklärungsbericht nicht unterzeichnete, sodass für die Richtigkeit der Angaben darin erst recht keine Gewähr besteht. Die Behauptung der Beschwerdegegnerin, der Lebenspartner der Beschwerdeführerin habe deren Angaben bei der Abklärung bestätigt, ist in keiner Weise bewiesen. Die Beschwerdegegnerin hat ihn weder als Zeugen noch als Auskunftsperson einvernommen, und er hat sich nie unterschriftlich oder in einer anderen Form erkennbar zur Sache geäussert. Doch selbst wenn er dies getan hätte, wäre seine Aussage kaum beweistauglich, kennt er seine Partnerin doch auch nicht als vollständig gesunde, durchschnittlich intelligente Person ohne gesundheitliche Einschränkungen und könnte nicht beurteilen, wie sie ihr Leben als Gesunde gestalten würde. 4.4  Die Argumente der Beschwerdegegnerin reichen nach den obigen Erwägungen nicht aus, um den Statuswechsel als nicht nur möglich, sondern als überwiegend wahrscheinlich anzunehmen. Mangels rechtsgenüglichen Beweises durfte die Beschwerdegegnerin demnach keine Revision vornehmen.</w:t>
      </w:r>
    </w:p>
    <w:p>
      <w:r>
        <w:rPr>
          <w:b/>
        </w:rPr>
        <w:t>E. 5</w:t>
      </w:r>
    </w:p>
    <w:p>
      <w:r>
        <w:t>5.1  Nach dem Gesagten ist die angefochtene Verfügung vom 20. Sep­tem­ber 2006 bei Gutheissung der Beschwerde aufzuheben. Der vorgenommene Methodenwechsel ist rechtswidrig, weil die Beschwerdegegnerin den Beweis, dass die Beschwerdeführerin als Gesunde unter ihren konkreten Lebensumständen nicht mehr voll erwerbstätig wäre, nicht mit dem nötigen Beweisgrad der überwiegenden Wahrscheinlichkeit zu erbringen vermag. Die Beschwerdeführerin hat damit weiterhin Anspruch auf eine ganze Rente.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Da sie gemäss Art. 3 Abs. 1 lit. b des st. gallischen Einführungsgesetzes zur Bundesgesetzgebung über die Alters-, Hinterlassenen- und Invalidenversicherung (sGS 350.1) Teil der So­zialversicherungsanstalt und damit Teil einer selbstständigen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Beschwerdeführerin ist der geleistete Kostenvorschuss in der Höhe von Fr. 600.- zurückzuerstatten. 5.3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53 GerG entschieden: 1.  Die Beschwerde wird unter Aufhebung der Verfügung vom 20. September 2006 gutgeheissen. 2.  Die Beschwerdegegnerin bezahlt eine Gerichtsgebühr von Fr. 600.-. 3.  Der Beschwerdeführerin wird der geleistete Kostenvorschuss von Fr. 600.- zurückerstattet. 4.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